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60" w:rsidRPr="005A22FC" w:rsidRDefault="001C5260" w:rsidP="001C5260">
      <w:pPr>
        <w:pStyle w:val="Heading2"/>
        <w:numPr>
          <w:ilvl w:val="0"/>
          <w:numId w:val="0"/>
        </w:numPr>
        <w:rPr>
          <w:sz w:val="24"/>
          <w:szCs w:val="24"/>
        </w:rPr>
      </w:pPr>
      <w:proofErr w:type="spellStart"/>
      <w:r w:rsidRPr="005A22FC">
        <w:rPr>
          <w:sz w:val="24"/>
          <w:szCs w:val="24"/>
        </w:rPr>
        <w:t>Biochemichal</w:t>
      </w:r>
      <w:proofErr w:type="spellEnd"/>
      <w:r w:rsidRPr="005A22FC">
        <w:rPr>
          <w:sz w:val="24"/>
          <w:szCs w:val="24"/>
        </w:rPr>
        <w:t xml:space="preserve"> Testing</w:t>
      </w:r>
    </w:p>
    <w:p w:rsidR="001C5260" w:rsidRPr="005A22FC" w:rsidRDefault="001C5260" w:rsidP="001C5260">
      <w:pPr>
        <w:ind w:left="576"/>
        <w:rPr>
          <w:sz w:val="24"/>
          <w:szCs w:val="24"/>
        </w:rPr>
      </w:pPr>
      <w:r w:rsidRPr="005A22FC">
        <w:rPr>
          <w:sz w:val="24"/>
          <w:szCs w:val="24"/>
        </w:rPr>
        <w:t xml:space="preserve">An indication of germination capacity can also be obtained by a biochemical test, using the reagent </w:t>
      </w:r>
      <w:proofErr w:type="spellStart"/>
      <w:r w:rsidRPr="005A22FC">
        <w:rPr>
          <w:sz w:val="24"/>
          <w:szCs w:val="24"/>
        </w:rPr>
        <w:t>tetrazolium</w:t>
      </w:r>
      <w:proofErr w:type="spellEnd"/>
      <w:r w:rsidRPr="005A22FC">
        <w:rPr>
          <w:sz w:val="24"/>
          <w:szCs w:val="24"/>
        </w:rPr>
        <w:t>. Chemically, this is a 2</w:t>
      </w:r>
      <w:proofErr w:type="gramStart"/>
      <w:r w:rsidRPr="005A22FC">
        <w:rPr>
          <w:sz w:val="24"/>
          <w:szCs w:val="24"/>
        </w:rPr>
        <w:t>,3,5</w:t>
      </w:r>
      <w:proofErr w:type="gramEnd"/>
      <w:r w:rsidRPr="005A22FC">
        <w:rPr>
          <w:sz w:val="24"/>
          <w:szCs w:val="24"/>
        </w:rPr>
        <w:t xml:space="preserve">-triphenyltetrazolium chloride or bromide-either salt may be used. It is </w:t>
      </w:r>
      <w:proofErr w:type="spellStart"/>
      <w:r w:rsidRPr="005A22FC">
        <w:rPr>
          <w:sz w:val="24"/>
          <w:szCs w:val="24"/>
        </w:rPr>
        <w:t>colourless</w:t>
      </w:r>
      <w:proofErr w:type="spellEnd"/>
      <w:r w:rsidRPr="005A22FC">
        <w:rPr>
          <w:sz w:val="24"/>
          <w:szCs w:val="24"/>
        </w:rPr>
        <w:t xml:space="preserve"> and soluble, and diffuses readily into and through tissue. There, in the presence of the enzyme </w:t>
      </w:r>
      <w:proofErr w:type="spellStart"/>
      <w:r w:rsidRPr="005A22FC">
        <w:rPr>
          <w:sz w:val="24"/>
          <w:szCs w:val="24"/>
        </w:rPr>
        <w:t>dehydrogenase</w:t>
      </w:r>
      <w:proofErr w:type="spellEnd"/>
      <w:r w:rsidRPr="005A22FC">
        <w:rPr>
          <w:sz w:val="24"/>
          <w:szCs w:val="24"/>
        </w:rPr>
        <w:t xml:space="preserve">, it is reduced to </w:t>
      </w:r>
      <w:proofErr w:type="spellStart"/>
      <w:r w:rsidRPr="005A22FC">
        <w:rPr>
          <w:sz w:val="24"/>
          <w:szCs w:val="24"/>
        </w:rPr>
        <w:t>triphenyl-formazan</w:t>
      </w:r>
      <w:proofErr w:type="spellEnd"/>
      <w:r w:rsidRPr="005A22FC">
        <w:rPr>
          <w:sz w:val="24"/>
          <w:szCs w:val="24"/>
        </w:rPr>
        <w:t xml:space="preserve">, which is red and non diffusible, remaining inside the cells where it is formed. Chemically this is a test for the presence of </w:t>
      </w:r>
      <w:proofErr w:type="spellStart"/>
      <w:r w:rsidRPr="005A22FC">
        <w:rPr>
          <w:sz w:val="24"/>
          <w:szCs w:val="24"/>
        </w:rPr>
        <w:t>dehydrogenase</w:t>
      </w:r>
      <w:proofErr w:type="spellEnd"/>
      <w:r w:rsidRPr="005A22FC">
        <w:rPr>
          <w:sz w:val="24"/>
          <w:szCs w:val="24"/>
        </w:rPr>
        <w:t xml:space="preserve">, but this enzyme is active in living tissue unstained. This reaction may also be brought about by light or, if the solution is alkaline, by other substances such as ascorbic acid. The solution of </w:t>
      </w:r>
      <w:proofErr w:type="spellStart"/>
      <w:r w:rsidRPr="005A22FC">
        <w:rPr>
          <w:sz w:val="24"/>
          <w:szCs w:val="24"/>
        </w:rPr>
        <w:t>tetrazolium</w:t>
      </w:r>
      <w:proofErr w:type="spellEnd"/>
      <w:r w:rsidRPr="005A22FC">
        <w:rPr>
          <w:sz w:val="24"/>
          <w:szCs w:val="24"/>
        </w:rPr>
        <w:t xml:space="preserve"> is therefore adjusted to a pH between 6.5 and 7 and kept in the darkness both before and during the test.</w:t>
      </w:r>
    </w:p>
    <w:p w:rsidR="001C5260" w:rsidRPr="005A22FC" w:rsidRDefault="001C5260" w:rsidP="001C5260">
      <w:pPr>
        <w:ind w:left="576"/>
        <w:rPr>
          <w:sz w:val="24"/>
          <w:szCs w:val="24"/>
        </w:rPr>
      </w:pPr>
      <w:r w:rsidRPr="005A22FC">
        <w:rPr>
          <w:sz w:val="24"/>
          <w:szCs w:val="24"/>
        </w:rPr>
        <w:t xml:space="preserve">In the test, the seeds are immersed in a 1percent solution long enough for the </w:t>
      </w:r>
      <w:proofErr w:type="spellStart"/>
      <w:r w:rsidRPr="005A22FC">
        <w:rPr>
          <w:sz w:val="24"/>
          <w:szCs w:val="24"/>
        </w:rPr>
        <w:t>tetrazolium</w:t>
      </w:r>
      <w:proofErr w:type="spellEnd"/>
      <w:r w:rsidRPr="005A22FC">
        <w:rPr>
          <w:sz w:val="24"/>
          <w:szCs w:val="24"/>
        </w:rPr>
        <w:t xml:space="preserve"> to penetrate, and the staining of the embryo is noted. The intensity of staining is not significant. Embryos that are completely stained or completely unstained present no problem, but an embryo may be found to be stained in part only, indicating, for example, that the </w:t>
      </w:r>
      <w:proofErr w:type="spellStart"/>
      <w:r w:rsidRPr="005A22FC">
        <w:rPr>
          <w:sz w:val="24"/>
          <w:szCs w:val="24"/>
        </w:rPr>
        <w:t>plumule</w:t>
      </w:r>
      <w:proofErr w:type="spellEnd"/>
      <w:r w:rsidRPr="005A22FC">
        <w:rPr>
          <w:sz w:val="24"/>
          <w:szCs w:val="24"/>
        </w:rPr>
        <w:t xml:space="preserve"> is viable but the root is dead. In a germination test, the embryo is evaluated on the emergence of essential structures in the seedling; similarly, in the </w:t>
      </w:r>
      <w:proofErr w:type="spellStart"/>
      <w:r w:rsidRPr="005A22FC">
        <w:rPr>
          <w:sz w:val="24"/>
          <w:szCs w:val="24"/>
        </w:rPr>
        <w:t>tetrazolium</w:t>
      </w:r>
      <w:proofErr w:type="spellEnd"/>
      <w:r w:rsidRPr="005A22FC">
        <w:rPr>
          <w:sz w:val="24"/>
          <w:szCs w:val="24"/>
        </w:rPr>
        <w:t xml:space="preserve"> test, the embryo is evaluated on the staining of essential parts. The minimum staining required has been determined experimentally and is not the same for all the species. For example, all the root tissue needs to be stained in sorghum, but only a small part in barley and rice, and an intermediate proportion in wheat. For each species there is a minimum staining pattern which has to be learned by the analyst.</w:t>
      </w:r>
    </w:p>
    <w:p w:rsidR="001C5260" w:rsidRPr="005A22FC" w:rsidRDefault="001C5260" w:rsidP="001C5260">
      <w:pPr>
        <w:ind w:left="576"/>
        <w:rPr>
          <w:sz w:val="24"/>
          <w:szCs w:val="24"/>
        </w:rPr>
      </w:pPr>
      <w:r w:rsidRPr="005A22FC">
        <w:rPr>
          <w:sz w:val="24"/>
          <w:szCs w:val="24"/>
        </w:rPr>
        <w:t xml:space="preserve">To facilitate the entry of the </w:t>
      </w:r>
      <w:proofErr w:type="spellStart"/>
      <w:r w:rsidRPr="005A22FC">
        <w:rPr>
          <w:sz w:val="24"/>
          <w:szCs w:val="24"/>
        </w:rPr>
        <w:t>tetrazolium</w:t>
      </w:r>
      <w:proofErr w:type="spellEnd"/>
      <w:r w:rsidRPr="005A22FC">
        <w:rPr>
          <w:sz w:val="24"/>
          <w:szCs w:val="24"/>
        </w:rPr>
        <w:t xml:space="preserve"> into the embryo and to make the staining part visible, preparation of the seed is necessary before immersion in the solution. This may consist of presoaking in water, removing the outer layers, or cutting each seed into halves.</w:t>
      </w:r>
    </w:p>
    <w:p w:rsidR="001C5260" w:rsidRPr="005A22FC" w:rsidRDefault="001C5260" w:rsidP="001C5260">
      <w:pPr>
        <w:ind w:left="576"/>
        <w:rPr>
          <w:sz w:val="24"/>
          <w:szCs w:val="24"/>
        </w:rPr>
      </w:pPr>
      <w:r w:rsidRPr="005A22FC">
        <w:rPr>
          <w:sz w:val="24"/>
          <w:szCs w:val="24"/>
        </w:rPr>
        <w:t xml:space="preserve">If the germination capacity is high, the agreement between conventional and </w:t>
      </w:r>
      <w:proofErr w:type="spellStart"/>
      <w:r w:rsidRPr="005A22FC">
        <w:rPr>
          <w:sz w:val="24"/>
          <w:szCs w:val="24"/>
        </w:rPr>
        <w:t>tetrazolium</w:t>
      </w:r>
      <w:proofErr w:type="spellEnd"/>
      <w:r w:rsidRPr="005A22FC">
        <w:rPr>
          <w:sz w:val="24"/>
          <w:szCs w:val="24"/>
        </w:rPr>
        <w:t xml:space="preserve"> test is good, but at lower germinations the </w:t>
      </w:r>
      <w:proofErr w:type="spellStart"/>
      <w:r w:rsidRPr="005A22FC">
        <w:rPr>
          <w:sz w:val="24"/>
          <w:szCs w:val="24"/>
        </w:rPr>
        <w:t>tetrazolium</w:t>
      </w:r>
      <w:proofErr w:type="spellEnd"/>
      <w:r w:rsidRPr="005A22FC">
        <w:rPr>
          <w:sz w:val="24"/>
          <w:szCs w:val="24"/>
        </w:rPr>
        <w:t xml:space="preserve"> test is less reliable. There are several reasons for this. Dormant seeds are not differentiated from non-dormant seeds. Abnormal growths may not be detected; embryos which develop into deformed seedlings may nevertheless stain normally. Living micro-</w:t>
      </w:r>
      <w:proofErr w:type="spellStart"/>
      <w:r w:rsidRPr="005A22FC">
        <w:rPr>
          <w:sz w:val="24"/>
          <w:szCs w:val="24"/>
        </w:rPr>
        <w:t>orgsanisms</w:t>
      </w:r>
      <w:proofErr w:type="spellEnd"/>
      <w:r w:rsidRPr="005A22FC">
        <w:rPr>
          <w:sz w:val="24"/>
          <w:szCs w:val="24"/>
        </w:rPr>
        <w:t xml:space="preserve"> present in decayed embryos may cause staining. There is a risk, too, that in seeds killed by overheating in the drying process, or in seeds that have sprouted, </w:t>
      </w:r>
      <w:proofErr w:type="spellStart"/>
      <w:r w:rsidRPr="005A22FC">
        <w:rPr>
          <w:sz w:val="24"/>
          <w:szCs w:val="24"/>
        </w:rPr>
        <w:t>dehydrogenase</w:t>
      </w:r>
      <w:proofErr w:type="spellEnd"/>
      <w:r w:rsidRPr="005A22FC">
        <w:rPr>
          <w:sz w:val="24"/>
          <w:szCs w:val="24"/>
        </w:rPr>
        <w:t xml:space="preserve"> may persist for a short time and reduce the </w:t>
      </w:r>
      <w:proofErr w:type="spellStart"/>
      <w:r w:rsidRPr="005A22FC">
        <w:rPr>
          <w:sz w:val="24"/>
          <w:szCs w:val="24"/>
        </w:rPr>
        <w:t>tetrazolium</w:t>
      </w:r>
      <w:proofErr w:type="spellEnd"/>
      <w:r w:rsidRPr="005A22FC">
        <w:rPr>
          <w:sz w:val="24"/>
          <w:szCs w:val="24"/>
        </w:rPr>
        <w:t>.</w:t>
      </w:r>
    </w:p>
    <w:p w:rsidR="001C5260" w:rsidRPr="005A22FC" w:rsidRDefault="001C5260" w:rsidP="001C5260">
      <w:pPr>
        <w:ind w:left="576"/>
        <w:rPr>
          <w:sz w:val="24"/>
          <w:szCs w:val="24"/>
        </w:rPr>
      </w:pPr>
      <w:r w:rsidRPr="005A22FC">
        <w:rPr>
          <w:sz w:val="24"/>
          <w:szCs w:val="24"/>
        </w:rPr>
        <w:t xml:space="preserve">The great advantage of the test is its speed, and it is of particular value in processing establishments where incoming seed has to be assessed quickly, even at the risk of occasional error. Normally the test is completed within 24 hrs, but this time can be reduced by having the seeds taken up the reagent under a vacuum, by maintaining a higher temperature during immersion, or by using the iodide salt of </w:t>
      </w:r>
      <w:proofErr w:type="spellStart"/>
      <w:r w:rsidRPr="005A22FC">
        <w:rPr>
          <w:sz w:val="24"/>
          <w:szCs w:val="24"/>
        </w:rPr>
        <w:t>tetrazolium</w:t>
      </w:r>
      <w:proofErr w:type="spellEnd"/>
      <w:r w:rsidRPr="005A22FC">
        <w:rPr>
          <w:sz w:val="24"/>
          <w:szCs w:val="24"/>
        </w:rPr>
        <w:t>.</w:t>
      </w:r>
    </w:p>
    <w:p w:rsidR="001C5260" w:rsidRPr="005A22FC" w:rsidRDefault="001C5260" w:rsidP="001C5260">
      <w:pPr>
        <w:pStyle w:val="NormalWeb"/>
        <w:ind w:left="576"/>
        <w:rPr>
          <w:rStyle w:val="Title"/>
          <w:sz w:val="24"/>
        </w:rPr>
      </w:pPr>
      <w:r w:rsidRPr="005A22FC">
        <w:rPr>
          <w:rFonts w:ascii="Arial" w:hAnsi="Arial" w:cs="Arial"/>
          <w:sz w:val="24"/>
        </w:rPr>
        <w:lastRenderedPageBreak/>
        <w:t xml:space="preserve">The test can also be used to decide whether seeds still un-germinated at the end of a conventional germination test are dead or dormant. The use of </w:t>
      </w:r>
      <w:proofErr w:type="spellStart"/>
      <w:r w:rsidRPr="005A22FC">
        <w:rPr>
          <w:rFonts w:ascii="Arial" w:hAnsi="Arial" w:cs="Arial"/>
          <w:sz w:val="24"/>
        </w:rPr>
        <w:t>tetrazolium</w:t>
      </w:r>
      <w:proofErr w:type="spellEnd"/>
      <w:r w:rsidRPr="005A22FC">
        <w:rPr>
          <w:rFonts w:ascii="Arial" w:hAnsi="Arial" w:cs="Arial"/>
          <w:sz w:val="24"/>
        </w:rPr>
        <w:t xml:space="preserve"> is not restricted to actual testing. It is a versatile tool and can be used to investigate the causes of poor germination or low </w:t>
      </w:r>
      <w:proofErr w:type="spellStart"/>
      <w:r w:rsidRPr="005A22FC">
        <w:rPr>
          <w:rFonts w:ascii="Arial" w:hAnsi="Arial" w:cs="Arial"/>
          <w:sz w:val="24"/>
        </w:rPr>
        <w:t>vigour</w:t>
      </w:r>
      <w:proofErr w:type="spellEnd"/>
      <w:r w:rsidRPr="005A22FC">
        <w:rPr>
          <w:rFonts w:ascii="Arial" w:hAnsi="Arial" w:cs="Arial"/>
          <w:sz w:val="24"/>
        </w:rPr>
        <w:t>.</w:t>
      </w:r>
      <w:r w:rsidRPr="005A22FC">
        <w:rPr>
          <w:rStyle w:val="Title"/>
          <w:sz w:val="24"/>
        </w:rPr>
        <w:t xml:space="preserve"> </w:t>
      </w:r>
    </w:p>
    <w:p w:rsidR="001C5260" w:rsidRDefault="001C5260" w:rsidP="001C5260">
      <w:pPr>
        <w:pStyle w:val="caption11"/>
        <w:jc w:val="center"/>
        <w:rPr>
          <w:i/>
          <w:iCs/>
        </w:rPr>
      </w:pPr>
      <w:r>
        <w:rPr>
          <w:i/>
          <w:iCs/>
          <w:noProof/>
        </w:rPr>
        <w:drawing>
          <wp:inline distT="0" distB="0" distL="0" distR="0">
            <wp:extent cx="3171825" cy="2381250"/>
            <wp:effectExtent l="19050" t="0" r="9525" b="0"/>
            <wp:docPr id="1" name="Picture 1" descr="Germination test: rolled t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ination test: rolled towel"/>
                    <pic:cNvPicPr>
                      <a:picLocks noChangeAspect="1" noChangeArrowheads="1"/>
                    </pic:cNvPicPr>
                  </pic:nvPicPr>
                  <pic:blipFill>
                    <a:blip r:embed="rId5"/>
                    <a:srcRect/>
                    <a:stretch>
                      <a:fillRect/>
                    </a:stretch>
                  </pic:blipFill>
                  <pic:spPr bwMode="auto">
                    <a:xfrm>
                      <a:off x="0" y="0"/>
                      <a:ext cx="3171825" cy="2381250"/>
                    </a:xfrm>
                    <a:prstGeom prst="rect">
                      <a:avLst/>
                    </a:prstGeom>
                    <a:noFill/>
                    <a:ln w="9525">
                      <a:noFill/>
                      <a:miter lim="800000"/>
                      <a:headEnd/>
                      <a:tailEnd/>
                    </a:ln>
                  </pic:spPr>
                </pic:pic>
              </a:graphicData>
            </a:graphic>
          </wp:inline>
        </w:drawing>
      </w:r>
    </w:p>
    <w:p w:rsidR="001C5260" w:rsidRPr="00303A30" w:rsidRDefault="001C5260" w:rsidP="001C5260">
      <w:pPr>
        <w:pStyle w:val="NormalWeb"/>
        <w:ind w:left="720" w:firstLine="720"/>
        <w:rPr>
          <w:rStyle w:val="Title"/>
          <w:color w:val="4BACC6"/>
          <w:sz w:val="24"/>
          <w:u w:val="single"/>
        </w:rPr>
      </w:pPr>
      <w:r w:rsidRPr="00303A30">
        <w:rPr>
          <w:rStyle w:val="Title"/>
          <w:color w:val="4BACC6"/>
          <w:sz w:val="24"/>
          <w:u w:val="single"/>
        </w:rPr>
        <w:t xml:space="preserve">Picture </w:t>
      </w:r>
      <w:r>
        <w:rPr>
          <w:rStyle w:val="Title"/>
          <w:color w:val="4BACC6"/>
          <w:sz w:val="24"/>
          <w:u w:val="single"/>
        </w:rPr>
        <w:t>6</w:t>
      </w:r>
      <w:r w:rsidRPr="00303A30">
        <w:rPr>
          <w:rStyle w:val="Title"/>
          <w:color w:val="4BACC6"/>
          <w:sz w:val="24"/>
          <w:u w:val="single"/>
        </w:rPr>
        <w:t>: Germination Test Using Moist Paper Towels</w:t>
      </w:r>
    </w:p>
    <w:p w:rsidR="001C5260" w:rsidRDefault="001C5260" w:rsidP="001C5260">
      <w:pPr>
        <w:pStyle w:val="caption11"/>
        <w:jc w:val="center"/>
        <w:rPr>
          <w:i/>
          <w:iCs/>
        </w:rPr>
      </w:pPr>
    </w:p>
    <w:p w:rsidR="001C5260" w:rsidRDefault="001C5260" w:rsidP="001C5260">
      <w:pPr>
        <w:pStyle w:val="caption11"/>
        <w:ind w:left="720"/>
        <w:jc w:val="center"/>
        <w:rPr>
          <w:i/>
          <w:iCs/>
        </w:rPr>
      </w:pPr>
    </w:p>
    <w:p w:rsidR="001C5260" w:rsidRDefault="001C5260" w:rsidP="001C5260">
      <w:pPr>
        <w:pStyle w:val="caption11"/>
        <w:ind w:left="720"/>
        <w:jc w:val="center"/>
        <w:rPr>
          <w:i/>
          <w:iCs/>
        </w:rPr>
      </w:pPr>
    </w:p>
    <w:p w:rsidR="001C5260" w:rsidRPr="00303A30" w:rsidRDefault="001C5260" w:rsidP="001C5260">
      <w:pPr>
        <w:pStyle w:val="caption11"/>
        <w:ind w:left="720"/>
        <w:jc w:val="center"/>
        <w:rPr>
          <w:rStyle w:val="caption1"/>
          <w:color w:val="4BACC6"/>
        </w:rPr>
      </w:pPr>
      <w:r>
        <w:rPr>
          <w:i/>
          <w:iCs/>
          <w:noProof/>
          <w:color w:val="4BACC6"/>
        </w:rPr>
        <w:drawing>
          <wp:inline distT="0" distB="0" distL="0" distR="0">
            <wp:extent cx="3171825" cy="2381250"/>
            <wp:effectExtent l="19050" t="0" r="9525" b="0"/>
            <wp:docPr id="2" name="Picture 2" descr="germinated seed in the germin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minated seed in the germination test."/>
                    <pic:cNvPicPr>
                      <a:picLocks noChangeAspect="1" noChangeArrowheads="1"/>
                    </pic:cNvPicPr>
                  </pic:nvPicPr>
                  <pic:blipFill>
                    <a:blip r:embed="rId6"/>
                    <a:srcRect/>
                    <a:stretch>
                      <a:fillRect/>
                    </a:stretch>
                  </pic:blipFill>
                  <pic:spPr bwMode="auto">
                    <a:xfrm>
                      <a:off x="0" y="0"/>
                      <a:ext cx="3171825" cy="2381250"/>
                    </a:xfrm>
                    <a:prstGeom prst="rect">
                      <a:avLst/>
                    </a:prstGeom>
                    <a:noFill/>
                    <a:ln w="9525">
                      <a:noFill/>
                      <a:miter lim="800000"/>
                      <a:headEnd/>
                      <a:tailEnd/>
                    </a:ln>
                  </pic:spPr>
                </pic:pic>
              </a:graphicData>
            </a:graphic>
          </wp:inline>
        </w:drawing>
      </w:r>
      <w:r w:rsidRPr="00303A30">
        <w:rPr>
          <w:rStyle w:val="caption1"/>
          <w:color w:val="4BACC6"/>
        </w:rPr>
        <w:t> </w:t>
      </w:r>
    </w:p>
    <w:p w:rsidR="001C5260" w:rsidRDefault="001C5260" w:rsidP="001C5260">
      <w:pPr>
        <w:pStyle w:val="caption11"/>
        <w:ind w:left="1440" w:firstLine="720"/>
        <w:rPr>
          <w:i/>
          <w:iCs/>
          <w:color w:val="4BACC6"/>
          <w:u w:val="single"/>
        </w:rPr>
      </w:pPr>
      <w:r>
        <w:rPr>
          <w:i/>
          <w:iCs/>
          <w:color w:val="4BACC6"/>
          <w:u w:val="single"/>
        </w:rPr>
        <w:t>Picture 6</w:t>
      </w:r>
      <w:r w:rsidRPr="00303A30">
        <w:rPr>
          <w:i/>
          <w:iCs/>
          <w:color w:val="4BACC6"/>
          <w:u w:val="single"/>
        </w:rPr>
        <w:t>: Germination Test Evaluations</w:t>
      </w:r>
    </w:p>
    <w:p w:rsidR="001C5260" w:rsidRPr="00303A30" w:rsidRDefault="001C5260" w:rsidP="001C5260">
      <w:pPr>
        <w:pStyle w:val="caption11"/>
        <w:ind w:left="1440" w:firstLine="720"/>
        <w:rPr>
          <w:rStyle w:val="caption1"/>
          <w:color w:val="4BACC6"/>
          <w:u w:val="single"/>
        </w:rPr>
      </w:pPr>
    </w:p>
    <w:p w:rsidR="001C5260" w:rsidRPr="005A22FC" w:rsidRDefault="001C5260" w:rsidP="001C5260">
      <w:pPr>
        <w:pStyle w:val="caption11"/>
        <w:jc w:val="center"/>
        <w:rPr>
          <w:rFonts w:ascii="Arial" w:hAnsi="Arial" w:cs="Arial"/>
        </w:rPr>
      </w:pPr>
      <w:proofErr w:type="spellStart"/>
      <w:r w:rsidRPr="005A22FC">
        <w:rPr>
          <w:rStyle w:val="Emphasis"/>
          <w:rFonts w:ascii="Arial" w:hAnsi="Arial" w:cs="Arial"/>
          <w:color w:val="CC0000"/>
        </w:rPr>
        <w:lastRenderedPageBreak/>
        <w:t>Ungerminated</w:t>
      </w:r>
      <w:proofErr w:type="spellEnd"/>
      <w:r w:rsidRPr="005A22FC">
        <w:rPr>
          <w:rStyle w:val="Emphasis"/>
          <w:rFonts w:ascii="Arial" w:hAnsi="Arial" w:cs="Arial"/>
          <w:color w:val="CC0000"/>
        </w:rPr>
        <w:t xml:space="preserve"> seeds at the end of the germination test are examined for dormancy with TZ testing.</w:t>
      </w:r>
    </w:p>
    <w:p w:rsidR="001C5260" w:rsidRPr="005A22FC" w:rsidRDefault="001C5260" w:rsidP="001C5260">
      <w:pPr>
        <w:pStyle w:val="caption2"/>
        <w:jc w:val="center"/>
        <w:rPr>
          <w:rFonts w:ascii="Arial" w:hAnsi="Arial" w:cs="Arial"/>
        </w:rPr>
      </w:pPr>
      <w:r w:rsidRPr="005A22FC">
        <w:rPr>
          <w:rFonts w:ascii="Arial" w:hAnsi="Arial" w:cs="Arial"/>
        </w:rPr>
        <w:t xml:space="preserve">When a quick estimate of the total viability is needed, a </w:t>
      </w:r>
      <w:proofErr w:type="spellStart"/>
      <w:r w:rsidRPr="005A22FC">
        <w:rPr>
          <w:rFonts w:ascii="Arial" w:hAnsi="Arial" w:cs="Arial"/>
        </w:rPr>
        <w:t>tetrazolium</w:t>
      </w:r>
      <w:proofErr w:type="spellEnd"/>
      <w:r w:rsidRPr="005A22FC">
        <w:rPr>
          <w:rFonts w:ascii="Arial" w:hAnsi="Arial" w:cs="Arial"/>
        </w:rPr>
        <w:t xml:space="preserve"> test </w:t>
      </w:r>
      <w:r w:rsidRPr="005A22FC">
        <w:rPr>
          <w:rFonts w:ascii="Arial" w:hAnsi="Arial" w:cs="Arial"/>
        </w:rPr>
        <w:br/>
        <w:t>should be requested.  The test usually takes 24 hours to complete, but with native species this may take 48 hours or longer.</w:t>
      </w:r>
    </w:p>
    <w:p w:rsidR="001C5260" w:rsidRDefault="001C5260" w:rsidP="001C5260">
      <w:pPr>
        <w:pStyle w:val="caption11"/>
        <w:jc w:val="center"/>
      </w:pPr>
      <w:r>
        <w:rPr>
          <w:noProof/>
        </w:rPr>
        <w:drawing>
          <wp:inline distT="0" distB="0" distL="0" distR="0">
            <wp:extent cx="3409950" cy="2562225"/>
            <wp:effectExtent l="19050" t="0" r="0" b="0"/>
            <wp:docPr id="3" name="Picture 3" descr="Preparing to cut seed for the TZ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ing to cut seed for the TZ test."/>
                    <pic:cNvPicPr>
                      <a:picLocks noChangeAspect="1" noChangeArrowheads="1"/>
                    </pic:cNvPicPr>
                  </pic:nvPicPr>
                  <pic:blipFill>
                    <a:blip r:embed="rId7"/>
                    <a:srcRect/>
                    <a:stretch>
                      <a:fillRect/>
                    </a:stretch>
                  </pic:blipFill>
                  <pic:spPr bwMode="auto">
                    <a:xfrm>
                      <a:off x="0" y="0"/>
                      <a:ext cx="3409950" cy="2562225"/>
                    </a:xfrm>
                    <a:prstGeom prst="rect">
                      <a:avLst/>
                    </a:prstGeom>
                    <a:noFill/>
                    <a:ln w="9525">
                      <a:noFill/>
                      <a:miter lim="800000"/>
                      <a:headEnd/>
                      <a:tailEnd/>
                    </a:ln>
                  </pic:spPr>
                </pic:pic>
              </a:graphicData>
            </a:graphic>
          </wp:inline>
        </w:drawing>
      </w:r>
      <w:r>
        <w:rPr>
          <w:noProof/>
        </w:rPr>
        <w:drawing>
          <wp:inline distT="0" distB="0" distL="0" distR="0">
            <wp:extent cx="3409950" cy="2562225"/>
            <wp:effectExtent l="19050" t="0" r="0" b="0"/>
            <wp:docPr id="4" name="Picture 4" descr="tetrazolium test staining patterns for seed v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trazolium test staining patterns for seed viability"/>
                    <pic:cNvPicPr>
                      <a:picLocks noChangeAspect="1" noChangeArrowheads="1"/>
                    </pic:cNvPicPr>
                  </pic:nvPicPr>
                  <pic:blipFill>
                    <a:blip r:embed="rId8"/>
                    <a:srcRect/>
                    <a:stretch>
                      <a:fillRect/>
                    </a:stretch>
                  </pic:blipFill>
                  <pic:spPr bwMode="auto">
                    <a:xfrm>
                      <a:off x="0" y="0"/>
                      <a:ext cx="3409950" cy="2562225"/>
                    </a:xfrm>
                    <a:prstGeom prst="rect">
                      <a:avLst/>
                    </a:prstGeom>
                    <a:noFill/>
                    <a:ln w="9525">
                      <a:noFill/>
                      <a:miter lim="800000"/>
                      <a:headEnd/>
                      <a:tailEnd/>
                    </a:ln>
                  </pic:spPr>
                </pic:pic>
              </a:graphicData>
            </a:graphic>
          </wp:inline>
        </w:drawing>
      </w:r>
    </w:p>
    <w:p w:rsidR="001C5260" w:rsidRPr="00303A30" w:rsidRDefault="001C5260" w:rsidP="001C5260">
      <w:pPr>
        <w:pStyle w:val="caption11"/>
        <w:ind w:left="720" w:firstLine="720"/>
        <w:rPr>
          <w:color w:val="4BACC6"/>
          <w:u w:val="single"/>
        </w:rPr>
      </w:pPr>
      <w:r>
        <w:rPr>
          <w:rStyle w:val="caption1"/>
          <w:color w:val="4BACC6"/>
          <w:u w:val="single"/>
        </w:rPr>
        <w:t>Picture 7</w:t>
      </w:r>
      <w:r w:rsidRPr="00303A30">
        <w:rPr>
          <w:rStyle w:val="caption1"/>
          <w:color w:val="4BACC6"/>
          <w:u w:val="single"/>
        </w:rPr>
        <w:t>:</w:t>
      </w:r>
      <w:r>
        <w:rPr>
          <w:rStyle w:val="caption1"/>
          <w:color w:val="4BACC6"/>
          <w:u w:val="single"/>
        </w:rPr>
        <w:tab/>
      </w:r>
      <w:hyperlink r:id="rId9" w:anchor="TZ1" w:history="1">
        <w:proofErr w:type="spellStart"/>
        <w:r w:rsidRPr="00303A30">
          <w:rPr>
            <w:rStyle w:val="Hyperlink"/>
            <w:color w:val="4BACC6"/>
            <w:u w:val="single"/>
          </w:rPr>
          <w:t>Tetrazolium</w:t>
        </w:r>
        <w:proofErr w:type="spellEnd"/>
        <w:r w:rsidRPr="00303A30">
          <w:rPr>
            <w:rStyle w:val="Hyperlink"/>
            <w:color w:val="4BACC6"/>
            <w:u w:val="single"/>
          </w:rPr>
          <w:t xml:space="preserve"> (TZ) Testing</w:t>
        </w:r>
      </w:hyperlink>
      <w:r w:rsidRPr="00303A30">
        <w:rPr>
          <w:rStyle w:val="caption1"/>
          <w:color w:val="4BACC6"/>
          <w:u w:val="single"/>
        </w:rPr>
        <w:t xml:space="preserve"> </w:t>
      </w:r>
    </w:p>
    <w:p w:rsidR="001C5260" w:rsidRDefault="001C5260" w:rsidP="001C5260">
      <w:pPr>
        <w:pStyle w:val="caption11"/>
        <w:jc w:val="center"/>
      </w:pPr>
    </w:p>
    <w:p w:rsidR="001C5260" w:rsidRDefault="001C5260" w:rsidP="001C5260">
      <w:pPr>
        <w:pStyle w:val="caption11"/>
        <w:jc w:val="center"/>
      </w:pPr>
    </w:p>
    <w:p w:rsidR="001C5260" w:rsidRDefault="001C5260" w:rsidP="001C5260">
      <w:pPr>
        <w:ind w:left="576"/>
      </w:pPr>
    </w:p>
    <w:p w:rsidR="001C5260" w:rsidRDefault="001C5260" w:rsidP="001C5260">
      <w:pPr>
        <w:ind w:left="576"/>
      </w:pPr>
    </w:p>
    <w:p w:rsidR="001C5260" w:rsidRDefault="001C5260" w:rsidP="001C5260">
      <w:pPr>
        <w:ind w:left="576"/>
      </w:pPr>
    </w:p>
    <w:p w:rsidR="001C5260" w:rsidRDefault="001C5260" w:rsidP="001C5260">
      <w:pPr>
        <w:ind w:left="576"/>
      </w:pPr>
    </w:p>
    <w:p w:rsidR="001C5260" w:rsidRPr="00A57A68" w:rsidRDefault="001C5260" w:rsidP="001C5260">
      <w:pPr>
        <w:ind w:left="576"/>
      </w:pPr>
    </w:p>
    <w:p w:rsidR="00F5280F" w:rsidRDefault="00F5280F"/>
    <w:sectPr w:rsidR="00F5280F" w:rsidSect="00F52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72A"/>
    <w:multiLevelType w:val="multilevel"/>
    <w:tmpl w:val="62F6CB6C"/>
    <w:lvl w:ilvl="0">
      <w:start w:val="1"/>
      <w:numFmt w:val="decimal"/>
      <w:pStyle w:val="Heading1"/>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color w:val="00B050"/>
      </w:rPr>
    </w:lvl>
    <w:lvl w:ilvl="2">
      <w:start w:val="1"/>
      <w:numFmt w:val="decimal"/>
      <w:pStyle w:val="Heading3"/>
      <w:lvlText w:val="%1.%2.%3"/>
      <w:lvlJc w:val="left"/>
      <w:pPr>
        <w:tabs>
          <w:tab w:val="num" w:pos="1146"/>
        </w:tabs>
        <w:ind w:left="1146" w:hanging="720"/>
      </w:pPr>
      <w:rPr>
        <w:rFonts w:hint="default"/>
        <w:i/>
        <w:color w:val="00B05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260"/>
    <w:rsid w:val="001C5260"/>
    <w:rsid w:val="00373C85"/>
    <w:rsid w:val="00F52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60"/>
    <w:pPr>
      <w:widowControl w:val="0"/>
      <w:autoSpaceDE w:val="0"/>
      <w:autoSpaceDN w:val="0"/>
      <w:adjustRightInd w:val="0"/>
      <w:spacing w:before="120" w:after="120" w:line="240" w:lineRule="auto"/>
      <w:jc w:val="both"/>
    </w:pPr>
    <w:rPr>
      <w:rFonts w:ascii="Arial" w:eastAsia="Times New Roman" w:hAnsi="Arial" w:cs="Arial"/>
      <w:sz w:val="20"/>
      <w:szCs w:val="20"/>
    </w:rPr>
  </w:style>
  <w:style w:type="paragraph" w:styleId="Heading1">
    <w:name w:val="heading 1"/>
    <w:basedOn w:val="Normal"/>
    <w:next w:val="Normal"/>
    <w:link w:val="Heading1Char"/>
    <w:qFormat/>
    <w:rsid w:val="001C5260"/>
    <w:pPr>
      <w:keepNext/>
      <w:pageBreakBefore/>
      <w:numPr>
        <w:numId w:val="1"/>
      </w:numPr>
      <w:pBdr>
        <w:bottom w:val="nil"/>
      </w:pBdr>
      <w:spacing w:before="360" w:after="50"/>
      <w:jc w:val="left"/>
      <w:outlineLvl w:val="0"/>
    </w:pPr>
    <w:rPr>
      <w:b/>
      <w:color w:val="008000"/>
      <w:sz w:val="24"/>
    </w:rPr>
  </w:style>
  <w:style w:type="paragraph" w:styleId="Heading2">
    <w:name w:val="heading 2"/>
    <w:basedOn w:val="Normal"/>
    <w:next w:val="Normal"/>
    <w:link w:val="Heading2Char"/>
    <w:qFormat/>
    <w:rsid w:val="001C5260"/>
    <w:pPr>
      <w:keepNext/>
      <w:numPr>
        <w:ilvl w:val="1"/>
        <w:numId w:val="1"/>
      </w:numPr>
      <w:spacing w:before="360" w:after="200"/>
      <w:jc w:val="left"/>
      <w:outlineLvl w:val="1"/>
    </w:pPr>
    <w:rPr>
      <w:b/>
      <w:bCs/>
      <w:color w:val="008000"/>
      <w:szCs w:val="36"/>
    </w:rPr>
  </w:style>
  <w:style w:type="paragraph" w:styleId="Heading3">
    <w:name w:val="heading 3"/>
    <w:basedOn w:val="Normal"/>
    <w:next w:val="Normal"/>
    <w:link w:val="Heading3Char"/>
    <w:qFormat/>
    <w:rsid w:val="001C5260"/>
    <w:pPr>
      <w:keepNext/>
      <w:keepLines/>
      <w:numPr>
        <w:ilvl w:val="2"/>
        <w:numId w:val="1"/>
      </w:numPr>
      <w:spacing w:before="240" w:after="150" w:line="150" w:lineRule="atLeast"/>
      <w:outlineLvl w:val="2"/>
    </w:pPr>
    <w:rPr>
      <w:b/>
      <w:bCs/>
      <w:i/>
      <w:color w:val="008000"/>
      <w:szCs w:val="28"/>
    </w:rPr>
  </w:style>
  <w:style w:type="paragraph" w:styleId="Heading4">
    <w:name w:val="heading 4"/>
    <w:basedOn w:val="Normal"/>
    <w:next w:val="Normal"/>
    <w:link w:val="Heading4Char"/>
    <w:qFormat/>
    <w:rsid w:val="001C5260"/>
    <w:pPr>
      <w:numPr>
        <w:ilvl w:val="3"/>
        <w:numId w:val="1"/>
      </w:numPr>
      <w:spacing w:before="100" w:after="100" w:line="100" w:lineRule="atLeast"/>
      <w:outlineLvl w:val="3"/>
    </w:pPr>
    <w:rPr>
      <w:b/>
      <w:bCs/>
      <w:szCs w:val="24"/>
    </w:rPr>
  </w:style>
  <w:style w:type="paragraph" w:styleId="Heading5">
    <w:name w:val="heading 5"/>
    <w:basedOn w:val="Normal"/>
    <w:next w:val="Normal"/>
    <w:link w:val="Heading5Char"/>
    <w:qFormat/>
    <w:rsid w:val="001C5260"/>
    <w:pPr>
      <w:numPr>
        <w:ilvl w:val="4"/>
        <w:numId w:val="1"/>
      </w:numPr>
      <w:spacing w:before="100" w:after="100" w:line="100" w:lineRule="atLeast"/>
      <w:outlineLvl w:val="4"/>
    </w:pPr>
    <w:rPr>
      <w:b/>
      <w:bCs/>
      <w:color w:val="074419"/>
    </w:rPr>
  </w:style>
  <w:style w:type="paragraph" w:styleId="Heading6">
    <w:name w:val="heading 6"/>
    <w:basedOn w:val="Normal"/>
    <w:next w:val="Normal"/>
    <w:link w:val="Heading6Char"/>
    <w:qFormat/>
    <w:rsid w:val="001C5260"/>
    <w:pPr>
      <w:numPr>
        <w:ilvl w:val="5"/>
        <w:numId w:val="1"/>
      </w:numPr>
      <w:spacing w:before="100" w:after="100" w:line="100" w:lineRule="atLeast"/>
      <w:outlineLvl w:val="5"/>
    </w:pPr>
    <w:rPr>
      <w:i/>
      <w:iCs/>
      <w:color w:val="B24C00"/>
    </w:rPr>
  </w:style>
  <w:style w:type="paragraph" w:styleId="Heading7">
    <w:name w:val="heading 7"/>
    <w:basedOn w:val="Normal"/>
    <w:next w:val="Normal"/>
    <w:link w:val="Heading7Char"/>
    <w:qFormat/>
    <w:rsid w:val="001C5260"/>
    <w:pPr>
      <w:numPr>
        <w:ilvl w:val="6"/>
        <w:numId w:val="1"/>
      </w:numPr>
      <w:outlineLvl w:val="6"/>
    </w:pPr>
  </w:style>
  <w:style w:type="paragraph" w:styleId="Heading8">
    <w:name w:val="heading 8"/>
    <w:basedOn w:val="Normal"/>
    <w:next w:val="Normal"/>
    <w:link w:val="Heading8Char"/>
    <w:qFormat/>
    <w:rsid w:val="001C5260"/>
    <w:pPr>
      <w:numPr>
        <w:ilvl w:val="7"/>
        <w:numId w:val="1"/>
      </w:numPr>
      <w:outlineLvl w:val="7"/>
    </w:pPr>
  </w:style>
  <w:style w:type="paragraph" w:styleId="Heading9">
    <w:name w:val="heading 9"/>
    <w:basedOn w:val="Normal"/>
    <w:next w:val="Normal"/>
    <w:link w:val="Heading9Char"/>
    <w:qFormat/>
    <w:rsid w:val="001C526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260"/>
    <w:rPr>
      <w:rFonts w:ascii="Arial" w:eastAsia="Times New Roman" w:hAnsi="Arial" w:cs="Arial"/>
      <w:b/>
      <w:color w:val="008000"/>
      <w:sz w:val="24"/>
      <w:szCs w:val="20"/>
    </w:rPr>
  </w:style>
  <w:style w:type="character" w:customStyle="1" w:styleId="Heading2Char">
    <w:name w:val="Heading 2 Char"/>
    <w:basedOn w:val="DefaultParagraphFont"/>
    <w:link w:val="Heading2"/>
    <w:rsid w:val="001C5260"/>
    <w:rPr>
      <w:rFonts w:ascii="Arial" w:eastAsia="Times New Roman" w:hAnsi="Arial" w:cs="Arial"/>
      <w:b/>
      <w:bCs/>
      <w:color w:val="008000"/>
      <w:sz w:val="20"/>
      <w:szCs w:val="36"/>
    </w:rPr>
  </w:style>
  <w:style w:type="character" w:customStyle="1" w:styleId="Heading3Char">
    <w:name w:val="Heading 3 Char"/>
    <w:basedOn w:val="DefaultParagraphFont"/>
    <w:link w:val="Heading3"/>
    <w:rsid w:val="001C5260"/>
    <w:rPr>
      <w:rFonts w:ascii="Arial" w:eastAsia="Times New Roman" w:hAnsi="Arial" w:cs="Arial"/>
      <w:b/>
      <w:bCs/>
      <w:i/>
      <w:color w:val="008000"/>
      <w:sz w:val="20"/>
      <w:szCs w:val="28"/>
    </w:rPr>
  </w:style>
  <w:style w:type="character" w:customStyle="1" w:styleId="Heading4Char">
    <w:name w:val="Heading 4 Char"/>
    <w:basedOn w:val="DefaultParagraphFont"/>
    <w:link w:val="Heading4"/>
    <w:rsid w:val="001C5260"/>
    <w:rPr>
      <w:rFonts w:ascii="Arial" w:eastAsia="Times New Roman" w:hAnsi="Arial" w:cs="Arial"/>
      <w:b/>
      <w:bCs/>
      <w:sz w:val="20"/>
      <w:szCs w:val="24"/>
    </w:rPr>
  </w:style>
  <w:style w:type="character" w:customStyle="1" w:styleId="Heading5Char">
    <w:name w:val="Heading 5 Char"/>
    <w:basedOn w:val="DefaultParagraphFont"/>
    <w:link w:val="Heading5"/>
    <w:rsid w:val="001C5260"/>
    <w:rPr>
      <w:rFonts w:ascii="Arial" w:eastAsia="Times New Roman" w:hAnsi="Arial" w:cs="Arial"/>
      <w:b/>
      <w:bCs/>
      <w:color w:val="074419"/>
      <w:sz w:val="20"/>
      <w:szCs w:val="20"/>
    </w:rPr>
  </w:style>
  <w:style w:type="character" w:customStyle="1" w:styleId="Heading6Char">
    <w:name w:val="Heading 6 Char"/>
    <w:basedOn w:val="DefaultParagraphFont"/>
    <w:link w:val="Heading6"/>
    <w:rsid w:val="001C5260"/>
    <w:rPr>
      <w:rFonts w:ascii="Arial" w:eastAsia="Times New Roman" w:hAnsi="Arial" w:cs="Arial"/>
      <w:i/>
      <w:iCs/>
      <w:color w:val="B24C00"/>
      <w:sz w:val="20"/>
      <w:szCs w:val="20"/>
    </w:rPr>
  </w:style>
  <w:style w:type="character" w:customStyle="1" w:styleId="Heading7Char">
    <w:name w:val="Heading 7 Char"/>
    <w:basedOn w:val="DefaultParagraphFont"/>
    <w:link w:val="Heading7"/>
    <w:rsid w:val="001C5260"/>
    <w:rPr>
      <w:rFonts w:ascii="Arial" w:eastAsia="Times New Roman" w:hAnsi="Arial" w:cs="Arial"/>
      <w:sz w:val="20"/>
      <w:szCs w:val="20"/>
    </w:rPr>
  </w:style>
  <w:style w:type="character" w:customStyle="1" w:styleId="Heading8Char">
    <w:name w:val="Heading 8 Char"/>
    <w:basedOn w:val="DefaultParagraphFont"/>
    <w:link w:val="Heading8"/>
    <w:rsid w:val="001C5260"/>
    <w:rPr>
      <w:rFonts w:ascii="Arial" w:eastAsia="Times New Roman" w:hAnsi="Arial" w:cs="Arial"/>
      <w:sz w:val="20"/>
      <w:szCs w:val="20"/>
    </w:rPr>
  </w:style>
  <w:style w:type="character" w:customStyle="1" w:styleId="Heading9Char">
    <w:name w:val="Heading 9 Char"/>
    <w:basedOn w:val="DefaultParagraphFont"/>
    <w:link w:val="Heading9"/>
    <w:rsid w:val="001C5260"/>
    <w:rPr>
      <w:rFonts w:ascii="Arial" w:eastAsia="Times New Roman" w:hAnsi="Arial" w:cs="Arial"/>
      <w:sz w:val="20"/>
      <w:szCs w:val="20"/>
    </w:rPr>
  </w:style>
  <w:style w:type="paragraph" w:styleId="Title">
    <w:name w:val="Title"/>
    <w:basedOn w:val="Normal"/>
    <w:link w:val="TitleChar"/>
    <w:qFormat/>
    <w:rsid w:val="001C5260"/>
    <w:pPr>
      <w:spacing w:before="240" w:after="60"/>
      <w:jc w:val="center"/>
      <w:outlineLvl w:val="0"/>
    </w:pPr>
    <w:rPr>
      <w:b/>
      <w:bCs/>
      <w:kern w:val="28"/>
      <w:sz w:val="32"/>
      <w:szCs w:val="32"/>
    </w:rPr>
  </w:style>
  <w:style w:type="character" w:customStyle="1" w:styleId="TitleChar">
    <w:name w:val="Title Char"/>
    <w:basedOn w:val="DefaultParagraphFont"/>
    <w:link w:val="Title"/>
    <w:rsid w:val="001C5260"/>
    <w:rPr>
      <w:rFonts w:ascii="Arial" w:eastAsia="Times New Roman" w:hAnsi="Arial" w:cs="Arial"/>
      <w:b/>
      <w:bCs/>
      <w:kern w:val="28"/>
      <w:sz w:val="32"/>
      <w:szCs w:val="32"/>
    </w:rPr>
  </w:style>
  <w:style w:type="character" w:styleId="Hyperlink">
    <w:name w:val="Hyperlink"/>
    <w:basedOn w:val="DefaultParagraphFont"/>
    <w:rsid w:val="001C5260"/>
    <w:rPr>
      <w:strike w:val="0"/>
      <w:dstrike w:val="0"/>
      <w:color w:val="1E76D1"/>
      <w:u w:val="none"/>
      <w:effect w:val="none"/>
    </w:rPr>
  </w:style>
  <w:style w:type="character" w:styleId="Emphasis">
    <w:name w:val="Emphasis"/>
    <w:basedOn w:val="DefaultParagraphFont"/>
    <w:uiPriority w:val="20"/>
    <w:qFormat/>
    <w:rsid w:val="001C5260"/>
    <w:rPr>
      <w:i/>
      <w:iCs/>
    </w:rPr>
  </w:style>
  <w:style w:type="paragraph" w:styleId="NormalWeb">
    <w:name w:val="Normal (Web)"/>
    <w:basedOn w:val="Normal"/>
    <w:uiPriority w:val="99"/>
    <w:rsid w:val="001C5260"/>
    <w:rPr>
      <w:rFonts w:ascii="Times New Roman" w:hAnsi="Times New Roman" w:cs="Times New Roman"/>
      <w:szCs w:val="24"/>
    </w:rPr>
  </w:style>
  <w:style w:type="character" w:customStyle="1" w:styleId="caption1">
    <w:name w:val="caption1"/>
    <w:basedOn w:val="DefaultParagraphFont"/>
    <w:rsid w:val="001C5260"/>
  </w:style>
  <w:style w:type="paragraph" w:customStyle="1" w:styleId="caption2">
    <w:name w:val="caption2"/>
    <w:basedOn w:val="Normal"/>
    <w:rsid w:val="001C5260"/>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aption11">
    <w:name w:val="caption11"/>
    <w:basedOn w:val="Normal"/>
    <w:rsid w:val="001C5260"/>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C52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edlab.colostate.edu/ViabilitySe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dc:creator>
  <cp:lastModifiedBy>LALA</cp:lastModifiedBy>
  <cp:revision>1</cp:revision>
  <dcterms:created xsi:type="dcterms:W3CDTF">2019-05-08T13:24:00Z</dcterms:created>
  <dcterms:modified xsi:type="dcterms:W3CDTF">2019-05-08T13:30:00Z</dcterms:modified>
</cp:coreProperties>
</file>